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附件6：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本人身体状况确认书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身体状况良好，能够按照省人社厅、省卫计委、省公安厅《关于明确公安机关警务辅助人员体能测评和体检有关事项的通知》（鲁公通〔2017〕30号）要求，参加本次体能测评，如因隐瞒身体状况造成不良后果，或本人原因发生身体损害的，本人自愿承担相应责任。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</w:rPr>
      </w:pPr>
    </w:p>
    <w:p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应聘人员:</w:t>
      </w:r>
    </w:p>
    <w:p>
      <w:pPr>
        <w:ind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U3YzZhNGFjZjRhN2Y0MWM2NzhiYjdmZTkyOTEifQ=="/>
  </w:docVars>
  <w:rsids>
    <w:rsidRoot w:val="00000000"/>
    <w:rsid w:val="5A6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2023-07-05T03:16:08Z</dcterms:created>
  <dc:creator>DELL</dc:creator>
  <cp:lastModifiedBy>故事细腻</cp:lastModifiedBy>
  <dcterms:modified xsi:type="dcterms:W3CDTF">2023-07-05T03:16:27Z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DE92C87BD2C149E7999667A0B82456AF_12</vt:lpwstr>
  </property>
</Properties>
</file>