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关于举办2018年度“企业人力资源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管理</w:t>
      </w:r>
      <w:r>
        <w:rPr>
          <w:rFonts w:ascii="Times New Roman" w:hAnsi="Times New Roman" w:eastAsia="方正小标宋简体" w:cs="Times New Roman"/>
          <w:sz w:val="44"/>
          <w:szCs w:val="44"/>
        </w:rPr>
        <w:t>公益系列讲座”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第二期</w:t>
      </w:r>
      <w:r>
        <w:rPr>
          <w:rFonts w:ascii="Times New Roman" w:hAnsi="Times New Roman" w:eastAsia="方正小标宋简体" w:cs="Times New Roman"/>
          <w:sz w:val="44"/>
          <w:szCs w:val="44"/>
        </w:rPr>
        <w:t>的通知</w:t>
      </w:r>
    </w:p>
    <w:p>
      <w:pPr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为更好服务我市用人单位，提高企业人力资源管理水平，济宁市人力资源市场配置服务中心拟于2018年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6月15日举办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“企业人力资源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管理公益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系列讲座”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第二期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活动。现将有关事项通知如下：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一、时间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2018年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月1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日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（周五）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，上午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:30-1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: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0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0。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二、地点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济宁市人力资源和社会保障综合服务中心二楼B20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室</w:t>
      </w:r>
    </w:p>
    <w:p>
      <w:pPr>
        <w:pStyle w:val="5"/>
        <w:numPr>
          <w:ilvl w:val="0"/>
          <w:numId w:val="1"/>
        </w:numPr>
        <w:snapToGrid w:val="0"/>
        <w:spacing w:line="600" w:lineRule="exact"/>
        <w:ind w:firstLineChars="0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主题</w:t>
      </w:r>
    </w:p>
    <w:p>
      <w:pPr>
        <w:snapToGrid w:val="0"/>
        <w:spacing w:line="600" w:lineRule="exact"/>
        <w:ind w:left="643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企业劳动用工管理法律实务与风险防范</w:t>
      </w:r>
    </w:p>
    <w:p>
      <w:pPr>
        <w:pStyle w:val="5"/>
        <w:numPr>
          <w:ilvl w:val="0"/>
          <w:numId w:val="1"/>
        </w:numPr>
        <w:snapToGrid w:val="0"/>
        <w:spacing w:line="600" w:lineRule="exact"/>
        <w:ind w:firstLineChars="0"/>
        <w:rPr>
          <w:rFonts w:hint="eastAsia" w:ascii="Times New Roman" w:hAnsi="Times New Roman" w:eastAsia="黑体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eastAsia="zh-CN"/>
        </w:rPr>
        <w:t>主讲人</w:t>
      </w:r>
    </w:p>
    <w:p>
      <w:pPr>
        <w:numPr>
          <w:ilvl w:val="0"/>
          <w:numId w:val="0"/>
        </w:numPr>
        <w:snapToGrid w:val="0"/>
        <w:spacing w:line="600" w:lineRule="exact"/>
        <w:ind w:left="643" w:leftChars="0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赵子星律师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山东开正律师事务所资深律师、人力资源</w:t>
      </w:r>
    </w:p>
    <w:p>
      <w:pPr>
        <w:numPr>
          <w:ilvl w:val="0"/>
          <w:numId w:val="0"/>
        </w:numPr>
        <w:snapToGrid w:val="0"/>
        <w:spacing w:line="600" w:lineRule="exact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专家律师</w:t>
      </w:r>
    </w:p>
    <w:p>
      <w:pPr>
        <w:snapToGrid w:val="0"/>
        <w:spacing w:line="600" w:lineRule="exact"/>
        <w:ind w:left="643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eastAsia="zh-CN"/>
        </w:rPr>
        <w:t>五</w:t>
      </w:r>
      <w:r>
        <w:rPr>
          <w:rFonts w:ascii="Times New Roman" w:hAnsi="Times New Roman" w:eastAsia="黑体" w:cs="Times New Roman"/>
          <w:b/>
          <w:bCs/>
          <w:sz w:val="32"/>
          <w:szCs w:val="32"/>
        </w:rPr>
        <w:t>、参会人员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sz w:val="32"/>
          <w:szCs w:val="32"/>
        </w:rPr>
        <w:t>我市各类企业人力资源</w:t>
      </w:r>
      <w:r>
        <w:rPr>
          <w:rFonts w:ascii="Times New Roman" w:hAnsi="Times New Roman" w:eastAsia="方正仿宋简体" w:cs="Times New Roman"/>
          <w:b/>
          <w:color w:val="000000"/>
          <w:kern w:val="0"/>
          <w:sz w:val="32"/>
          <w:szCs w:val="32"/>
        </w:rPr>
        <w:t>经理、工作人员。</w:t>
      </w:r>
    </w:p>
    <w:p>
      <w:pPr>
        <w:snapToGrid w:val="0"/>
        <w:spacing w:line="600" w:lineRule="exact"/>
        <w:ind w:left="643"/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eastAsia="zh-CN"/>
        </w:rPr>
        <w:t>六</w:t>
      </w:r>
      <w:r>
        <w:rPr>
          <w:rFonts w:ascii="Times New Roman" w:hAnsi="Times New Roman" w:eastAsia="黑体" w:cs="Times New Roman"/>
          <w:b/>
          <w:bCs/>
          <w:sz w:val="32"/>
          <w:szCs w:val="32"/>
        </w:rPr>
        <w:t>、报名方式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参会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单位将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报名回执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（见附件）</w:t>
      </w:r>
      <w:r>
        <w:rPr>
          <w:rFonts w:ascii="Times New Roman" w:hAnsi="Times New Roman" w:eastAsia="方正仿宋简体" w:cs="Times New Roman"/>
          <w:b/>
          <w:bCs/>
          <w:color w:val="000000"/>
          <w:sz w:val="32"/>
          <w:szCs w:val="32"/>
        </w:rPr>
        <w:t>于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简体" w:cs="Times New Roman"/>
          <w:b/>
          <w:bCs/>
          <w:color w:val="000000"/>
          <w:sz w:val="32"/>
          <w:szCs w:val="32"/>
        </w:rPr>
        <w:t>月1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简体" w:cs="Times New Roman"/>
          <w:b/>
          <w:bCs/>
          <w:color w:val="000000"/>
          <w:sz w:val="32"/>
          <w:szCs w:val="32"/>
        </w:rPr>
        <w:t>日前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发送至邮箱（jnsrccp@163.com）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，电子版可登陆济宁市人力资源市场网站（http://www.jnhr.gov.cn/）通知公告栏下载。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 xml:space="preserve">联系人：刘文博 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秦凯      联系电话：0537-22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</w:rPr>
        <w:t>1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5191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>附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件： “企业人力资源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  <w:lang w:eastAsia="zh-CN"/>
        </w:rPr>
        <w:t>管理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公益系列讲座”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  <w:lang w:eastAsia="zh-CN"/>
        </w:rPr>
        <w:t>第二期</w:t>
      </w:r>
      <w:r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t>报名回执</w:t>
      </w:r>
    </w:p>
    <w:p>
      <w:pPr>
        <w:snapToGrid w:val="0"/>
        <w:spacing w:line="600" w:lineRule="exact"/>
        <w:rPr>
          <w:rFonts w:hint="eastAsia"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 xml:space="preserve"> 2018年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b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简体" w:cs="Times New Roman"/>
          <w:b/>
          <w:sz w:val="32"/>
          <w:szCs w:val="32"/>
        </w:rPr>
        <w:t>日</w:t>
      </w:r>
    </w:p>
    <w:p>
      <w:pPr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rPr>
          <w:rFonts w:ascii="Times New Roman" w:hAnsi="Times New Roman" w:eastAsia="黑体" w:cs="Times New Roman"/>
          <w:b/>
        </w:rPr>
      </w:pPr>
      <w:r>
        <w:rPr>
          <w:rFonts w:ascii="Times New Roman" w:hAnsi="Times New Roman" w:eastAsia="黑体" w:cs="Times New Roman"/>
          <w:b/>
          <w:bCs/>
          <w:sz w:val="32"/>
          <w:szCs w:val="32"/>
        </w:rPr>
        <w:t>附</w:t>
      </w:r>
      <w:r>
        <w:rPr>
          <w:rFonts w:ascii="Times New Roman" w:hAnsi="Times New Roman" w:eastAsia="黑体" w:cs="Times New Roman"/>
          <w:b/>
          <w:color w:val="000000"/>
          <w:sz w:val="32"/>
          <w:szCs w:val="32"/>
        </w:rPr>
        <w:t>件：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color w:val="000000"/>
          <w:sz w:val="44"/>
          <w:szCs w:val="44"/>
        </w:rPr>
        <w:t>“企业人力资源</w:t>
      </w:r>
      <w:r>
        <w:rPr>
          <w:rFonts w:hint="eastAsia" w:ascii="Times New Roman" w:hAnsi="Times New Roman" w:eastAsia="方正小标宋简体" w:cs="Times New Roman"/>
          <w:b/>
          <w:color w:val="000000"/>
          <w:sz w:val="44"/>
          <w:szCs w:val="44"/>
        </w:rPr>
        <w:t>管理</w:t>
      </w:r>
      <w:r>
        <w:rPr>
          <w:rFonts w:ascii="Times New Roman" w:hAnsi="Times New Roman" w:eastAsia="方正小标宋简体" w:cs="Times New Roman"/>
          <w:b/>
          <w:color w:val="000000"/>
          <w:sz w:val="44"/>
          <w:szCs w:val="44"/>
        </w:rPr>
        <w:t>公益系列讲座”</w:t>
      </w:r>
      <w:r>
        <w:rPr>
          <w:rFonts w:hint="eastAsia" w:ascii="Times New Roman" w:hAnsi="Times New Roman" w:eastAsia="方正小标宋简体" w:cs="Times New Roman"/>
          <w:b/>
          <w:color w:val="000000"/>
          <w:sz w:val="44"/>
          <w:szCs w:val="44"/>
          <w:lang w:eastAsia="zh-CN"/>
        </w:rPr>
        <w:t>第二期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color w:val="000000"/>
          <w:sz w:val="44"/>
          <w:szCs w:val="44"/>
        </w:rPr>
        <w:t>报名回执</w:t>
      </w:r>
    </w:p>
    <w:p>
      <w:pPr>
        <w:spacing w:line="600" w:lineRule="exact"/>
        <w:ind w:firstLine="883" w:firstLineChars="200"/>
        <w:jc w:val="center"/>
        <w:rPr>
          <w:rFonts w:ascii="Times New Roman" w:hAnsi="Times New Roman" w:eastAsia="方正小标宋简体" w:cs="Times New Roman"/>
          <w:b/>
          <w:color w:val="000000"/>
          <w:sz w:val="44"/>
          <w:szCs w:val="44"/>
        </w:rPr>
      </w:pPr>
    </w:p>
    <w:tbl>
      <w:tblPr>
        <w:tblStyle w:val="4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011"/>
        <w:gridCol w:w="849"/>
        <w:gridCol w:w="1476"/>
        <w:gridCol w:w="1728"/>
        <w:gridCol w:w="535"/>
        <w:gridCol w:w="216"/>
        <w:gridCol w:w="1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3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单位名称：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报名人数：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52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 xml:space="preserve">单位地址：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napToGrid w:val="0"/>
        <w:spacing w:line="360" w:lineRule="auto"/>
        <w:jc w:val="right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 xml:space="preserve">联系人：          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     </w:t>
      </w:r>
      <w:r>
        <w:rPr>
          <w:rFonts w:ascii="Times New Roman" w:hAnsi="Times New Roman" w:eastAsia="方正仿宋简体" w:cs="Times New Roman"/>
          <w:b/>
          <w:bCs/>
          <w:sz w:val="32"/>
          <w:szCs w:val="32"/>
        </w:rPr>
        <w:t xml:space="preserve">联系电话：          </w:t>
      </w:r>
    </w:p>
    <w:p>
      <w:pPr>
        <w:rPr>
          <w:rFonts w:ascii="Times New Roman" w:hAnsi="Times New Roman" w:eastAsia="方正仿宋简体" w:cs="Times New Roman"/>
          <w:b/>
          <w:sz w:val="32"/>
          <w:szCs w:val="32"/>
        </w:rPr>
      </w:pPr>
    </w:p>
    <w:sectPr>
      <w:pgSz w:w="11906" w:h="16838"/>
      <w:pgMar w:top="1327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D142F"/>
    <w:multiLevelType w:val="multilevel"/>
    <w:tmpl w:val="774D142F"/>
    <w:lvl w:ilvl="0" w:tentative="0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D229E"/>
    <w:rsid w:val="0010382F"/>
    <w:rsid w:val="001218E9"/>
    <w:rsid w:val="00182A85"/>
    <w:rsid w:val="002000BF"/>
    <w:rsid w:val="002B2380"/>
    <w:rsid w:val="002D3DF6"/>
    <w:rsid w:val="00310CCD"/>
    <w:rsid w:val="00421589"/>
    <w:rsid w:val="00640E1A"/>
    <w:rsid w:val="00817462"/>
    <w:rsid w:val="008B2485"/>
    <w:rsid w:val="008D6561"/>
    <w:rsid w:val="009B4CB4"/>
    <w:rsid w:val="00A66F48"/>
    <w:rsid w:val="00B21EE2"/>
    <w:rsid w:val="00B2451C"/>
    <w:rsid w:val="00B86BF0"/>
    <w:rsid w:val="00BC6ACB"/>
    <w:rsid w:val="00C561F6"/>
    <w:rsid w:val="00CD3D40"/>
    <w:rsid w:val="00DD3532"/>
    <w:rsid w:val="00E17F41"/>
    <w:rsid w:val="00EA41FC"/>
    <w:rsid w:val="00F86E4B"/>
    <w:rsid w:val="00FD1A45"/>
    <w:rsid w:val="1971118A"/>
    <w:rsid w:val="1A0802D0"/>
    <w:rsid w:val="299605FF"/>
    <w:rsid w:val="2E3D229E"/>
    <w:rsid w:val="2E640D6B"/>
    <w:rsid w:val="37D62035"/>
    <w:rsid w:val="3F5907EB"/>
    <w:rsid w:val="45094E2B"/>
    <w:rsid w:val="47C57AAC"/>
    <w:rsid w:val="4A742123"/>
    <w:rsid w:val="5B471A3D"/>
    <w:rsid w:val="64CF5ED7"/>
    <w:rsid w:val="6762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98</Words>
  <Characters>565</Characters>
  <Lines>4</Lines>
  <Paragraphs>1</Paragraphs>
  <ScaleCrop>false</ScaleCrop>
  <LinksUpToDate>false</LinksUpToDate>
  <CharactersWithSpaces>662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2018-04-09T03:25:00Z</dcterms:created>
  <dc:creator>Administrator</dc:creator>
  <cp:lastModifiedBy>何慧</cp:lastModifiedBy>
  <cp:lastPrinted>2018-06-06T03:13:00Z</cp:lastPrinted>
  <dcterms:modified xsi:type="dcterms:W3CDTF">2018-06-06T07:29:25Z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